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-2610/2025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7"/>
          <w:szCs w:val="27"/>
        </w:rPr>
        <w:t>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Тотосова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Бориса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родивше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ExternalSystemDefinedgrp-3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10rplc-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</w:t>
      </w:r>
      <w:r>
        <w:rPr>
          <w:rFonts w:ascii="Times New Roman" w:eastAsia="Times New Roman" w:hAnsi="Times New Roman" w:cs="Times New Roman"/>
          <w:sz w:val="27"/>
          <w:szCs w:val="27"/>
        </w:rPr>
        <w:t>ждан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месту жительства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</w:t>
      </w:r>
      <w:r>
        <w:rPr>
          <w:rStyle w:val="cat-Addressgrp-4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аботающ</w:t>
      </w:r>
      <w:r>
        <w:rPr>
          <w:rFonts w:ascii="Times New Roman" w:eastAsia="Times New Roman" w:hAnsi="Times New Roman" w:cs="Times New Roman"/>
          <w:sz w:val="27"/>
          <w:szCs w:val="27"/>
        </w:rPr>
        <w:t>ег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ВУ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Dategrp-11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8rplc-1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Сургуте по </w:t>
      </w:r>
      <w:r>
        <w:rPr>
          <w:rStyle w:val="cat-Addressgrp-5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Тотосов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Б.М., являясь водителем транспортного средства </w:t>
      </w:r>
      <w:r>
        <w:rPr>
          <w:rStyle w:val="cat-CarNumbergrp-32rplc-1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(бездействия)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содержат уголовно наказуемого деяния, чем нарушил п. 2.3.2 ПДД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Тотосов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явку своего представителя – 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>Перситской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Т.Б., знакомившейся </w:t>
      </w:r>
      <w:r>
        <w:rPr>
          <w:rStyle w:val="cat-Dategrp-12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материалами данного дела не обеспечил, ходатайств об отложении рассмотрения дела не заявлял.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51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86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3 ст. 28.6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либо если имеются данные о надлежащем извещении лица о месте и времени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направлены судебные извещения, судебная корреспонденция возвращена в суд с отметкой об истечении срока хранения. При таких обстоятельствах судом предприняты исчерпывающие меры для надлежащего уведомления лица, в отношении которого ведется производство по делу об административном правонарушении, о дне, времени и месте судебного заседания. Принимая во внимание разъяснения, содержащиеся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39487/entry/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Пленума Верховного Суда Российской Федерации от </w:t>
      </w:r>
      <w:r>
        <w:rPr>
          <w:rStyle w:val="cat-Dategrp-13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 "О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", суд полагает </w:t>
      </w:r>
      <w:r>
        <w:rPr>
          <w:rFonts w:ascii="Times New Roman" w:eastAsia="Times New Roman" w:hAnsi="Times New Roman" w:cs="Times New Roman"/>
          <w:sz w:val="27"/>
          <w:szCs w:val="27"/>
        </w:rPr>
        <w:t>Тотосов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Б.М. надлежащим образом извещенным о дне, времени и месте судебного разбирательства, в связи с чем, дело рассмотрено в порядке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51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 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26.2 КоАП РФ доказательствами по делу являются любые фактические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иными протоколами, предусмотренными КоАП РФ, объяснениями лица,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 которого ведется производство по делу об административном правонарушении, иными документами.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Никакие доказательства не могут иметь заранее установленную силу.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разъяснено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абз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 2 п. 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</w:t>
      </w:r>
      <w:r>
        <w:rPr>
          <w:rStyle w:val="cat-Dategrp-14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 об административных правонарушениях, предусмотренных нормами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1.1 ст. 27.12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подлежит освидетельствованию на состояние алкогольного опьянения в соответствии с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6 этой статьи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</w:t>
      </w:r>
      <w:r>
        <w:rPr>
          <w:rStyle w:val="cat-Dategrp-15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1882 утверждены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Правила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и оформление его результатов, направления на медицинское освидетельствование на состояние опьянения (далее - Правила).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Пунктом 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предусмотрено,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3 ст. 27.12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а также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 Форма указанного протокола утверждается Министерством внутренних дел Российской Федерации по согласованию с Министерством здравоохранения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п.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Пленума Верховного Суда РФ от </w:t>
      </w:r>
      <w:r>
        <w:rPr>
          <w:rStyle w:val="cat-Dategrp-16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>
        <w:rPr>
          <w:rFonts w:ascii="Times New Roman" w:eastAsia="Times New Roman" w:hAnsi="Times New Roman" w:cs="Times New Roman"/>
          <w:sz w:val="27"/>
          <w:szCs w:val="27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2" w:anchor="dst431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Тотосова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рассматриваемого правонарушения установлена и подтверждается совокупностью исследованных в судебном заседании следующих доказательств: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86 ХМ №</w:t>
      </w:r>
      <w:r>
        <w:rPr>
          <w:rFonts w:ascii="Times New Roman" w:eastAsia="Times New Roman" w:hAnsi="Times New Roman" w:cs="Times New Roman"/>
          <w:sz w:val="27"/>
          <w:szCs w:val="27"/>
        </w:rPr>
        <w:t>674445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8rplc-2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Сургуте по </w:t>
      </w:r>
      <w:r>
        <w:rPr>
          <w:rStyle w:val="cat-Addressgrp-5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Тотосов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водителем транспортного средства </w:t>
      </w:r>
      <w:r>
        <w:rPr>
          <w:rStyle w:val="cat-CarNumbergrp-32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86 ПК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071834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1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исходя из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Тотосов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7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Timegrp-29rplc-3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Сургуте по </w:t>
      </w:r>
      <w:r>
        <w:rPr>
          <w:rStyle w:val="cat-Addressgrp-5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отстранен от управления транспортным средством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cat-CarNumbergrp-32rplc-4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наличием достаточных оснований полагать, что 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управляет им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признаки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86 </w:t>
      </w:r>
      <w:r>
        <w:rPr>
          <w:rFonts w:ascii="Times New Roman" w:eastAsia="Times New Roman" w:hAnsi="Times New Roman" w:cs="Times New Roman"/>
          <w:sz w:val="27"/>
          <w:szCs w:val="27"/>
        </w:rPr>
        <w:t>НП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045490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8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Тотосов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отказом от прохождения освидетельствования на состояние алкогольного опьянения в </w:t>
      </w:r>
      <w:r>
        <w:rPr>
          <w:rStyle w:val="cat-Timegrp-28rplc-4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направлен на медицинское освидетельствование на состояние опьянения, пройти данное 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Тотосов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отказался, </w:t>
      </w:r>
      <w:r>
        <w:rPr>
          <w:rFonts w:ascii="Times New Roman" w:eastAsia="Times New Roman" w:hAnsi="Times New Roman" w:cs="Times New Roman"/>
          <w:sz w:val="27"/>
          <w:szCs w:val="27"/>
        </w:rPr>
        <w:t>о чем собственноручно указал в протоколе «</w:t>
      </w:r>
      <w:r>
        <w:rPr>
          <w:rFonts w:ascii="Times New Roman" w:eastAsia="Times New Roman" w:hAnsi="Times New Roman" w:cs="Times New Roman"/>
          <w:sz w:val="27"/>
          <w:szCs w:val="27"/>
        </w:rPr>
        <w:t>отказ</w:t>
      </w:r>
      <w:r>
        <w:rPr>
          <w:rFonts w:ascii="Times New Roman" w:eastAsia="Times New Roman" w:hAnsi="Times New Roman" w:cs="Times New Roman"/>
          <w:sz w:val="27"/>
          <w:szCs w:val="27"/>
        </w:rPr>
        <w:t>»;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Тотосова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Б.М. от </w:t>
      </w:r>
      <w:r>
        <w:rPr>
          <w:rStyle w:val="cat-Dategrp-11rplc-4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которым </w:t>
      </w:r>
      <w:r>
        <w:rPr>
          <w:rStyle w:val="cat-Dategrp-11rplc-4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Timegrp-30rplc-4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поехал на </w:t>
      </w:r>
      <w:r>
        <w:rPr>
          <w:rFonts w:ascii="Times New Roman" w:eastAsia="Times New Roman" w:hAnsi="Times New Roman" w:cs="Times New Roman"/>
          <w:sz w:val="27"/>
          <w:szCs w:val="27"/>
        </w:rPr>
        <w:t>речпорт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своем т/с </w:t>
      </w:r>
      <w:r>
        <w:rPr>
          <w:rFonts w:ascii="Times New Roman" w:eastAsia="Times New Roman" w:hAnsi="Times New Roman" w:cs="Times New Roman"/>
          <w:sz w:val="27"/>
          <w:szCs w:val="27"/>
        </w:rPr>
        <w:t>Солярис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2rplc-5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отдохнуть</w:t>
      </w:r>
      <w:r>
        <w:rPr>
          <w:rFonts w:ascii="Times New Roman" w:eastAsia="Times New Roman" w:hAnsi="Times New Roman" w:cs="Times New Roman"/>
          <w:sz w:val="27"/>
          <w:szCs w:val="27"/>
        </w:rPr>
        <w:t>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коло </w:t>
      </w:r>
      <w:r>
        <w:rPr>
          <w:rStyle w:val="cat-Timegrp-31rplc-5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выехал с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ечпорта</w:t>
      </w:r>
      <w:r>
        <w:rPr>
          <w:rFonts w:ascii="Times New Roman" w:eastAsia="Times New Roman" w:hAnsi="Times New Roman" w:cs="Times New Roman"/>
          <w:sz w:val="27"/>
          <w:szCs w:val="27"/>
        </w:rPr>
        <w:t>, но перед этим выпил полбутылки пива и двинулся в сторону дома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далее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Style w:val="cat-Addressgrp-7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Timegrp-29rplc-5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совершил ДТП с </w:t>
      </w:r>
      <w:r>
        <w:rPr>
          <w:rFonts w:ascii="Times New Roman" w:eastAsia="Times New Roman" w:hAnsi="Times New Roman" w:cs="Times New Roman"/>
          <w:sz w:val="27"/>
          <w:szCs w:val="27"/>
        </w:rPr>
        <w:t>т/с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Хендай </w:t>
      </w:r>
      <w:r>
        <w:rPr>
          <w:rStyle w:val="cat-CarNumbergrp-33rplc-5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выдержал безопасной дистанции. </w:t>
      </w:r>
      <w:r>
        <w:rPr>
          <w:rFonts w:ascii="Times New Roman" w:eastAsia="Times New Roman" w:hAnsi="Times New Roman" w:cs="Times New Roman"/>
          <w:sz w:val="27"/>
          <w:szCs w:val="27"/>
        </w:rPr>
        <w:t>Потом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пообщавшись с водителем, он пошел в Сбербанк </w:t>
      </w:r>
      <w:r>
        <w:rPr>
          <w:rFonts w:ascii="Times New Roman" w:eastAsia="Times New Roman" w:hAnsi="Times New Roman" w:cs="Times New Roman"/>
          <w:sz w:val="27"/>
          <w:szCs w:val="27"/>
        </w:rPr>
        <w:t>снять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деньги, чтобы закрыть вопрос с ДТП</w:t>
      </w:r>
      <w:r>
        <w:rPr>
          <w:rFonts w:ascii="Times New Roman" w:eastAsia="Times New Roman" w:hAnsi="Times New Roman" w:cs="Times New Roman"/>
          <w:sz w:val="27"/>
          <w:szCs w:val="27"/>
        </w:rPr>
        <w:t>, б</w:t>
      </w:r>
      <w:r>
        <w:rPr>
          <w:rFonts w:ascii="Times New Roman" w:eastAsia="Times New Roman" w:hAnsi="Times New Roman" w:cs="Times New Roman"/>
          <w:sz w:val="27"/>
          <w:szCs w:val="27"/>
        </w:rPr>
        <w:t>ольше он не выпивал</w:t>
      </w:r>
      <w:r>
        <w:rPr>
          <w:rFonts w:ascii="Times New Roman" w:eastAsia="Times New Roman" w:hAnsi="Times New Roman" w:cs="Times New Roman"/>
          <w:sz w:val="27"/>
          <w:szCs w:val="27"/>
        </w:rPr>
        <w:t>, д</w:t>
      </w:r>
      <w:r>
        <w:rPr>
          <w:rFonts w:ascii="Times New Roman" w:eastAsia="Times New Roman" w:hAnsi="Times New Roman" w:cs="Times New Roman"/>
          <w:sz w:val="27"/>
          <w:szCs w:val="27"/>
        </w:rPr>
        <w:t>алее в Сбербанке его нашли сотрудники ДПС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выявили признаки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они </w:t>
      </w:r>
      <w:r>
        <w:rPr>
          <w:rFonts w:ascii="Times New Roman" w:eastAsia="Times New Roman" w:hAnsi="Times New Roman" w:cs="Times New Roman"/>
          <w:sz w:val="27"/>
          <w:szCs w:val="27"/>
        </w:rPr>
        <w:t>пошли на место ДТП для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Style w:val="cat-Addressgrp-8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ДПС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ГАИ </w:t>
      </w:r>
      <w:r>
        <w:rPr>
          <w:rFonts w:ascii="Times New Roman" w:eastAsia="Times New Roman" w:hAnsi="Times New Roman" w:cs="Times New Roman"/>
          <w:sz w:val="27"/>
          <w:szCs w:val="27"/>
        </w:rPr>
        <w:t>УМВД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5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диском с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которую суд обозрел в судебном заседании в каб.205 на стационарном компьютере, в котором отражены действия по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составлению процессуальных документов в отношении него без участия понятых.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7"/>
          <w:szCs w:val="27"/>
        </w:rPr>
        <w:t>068575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задержания транспортного средства от </w:t>
      </w:r>
      <w:r>
        <w:rPr>
          <w:rStyle w:val="cat-Dategrp-11rplc-5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карточка операции с ВУ, карточка учета ТС; реестр правонарушений;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справка инспектора ИАЗ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ОБДПС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7"/>
          <w:szCs w:val="27"/>
        </w:rPr>
        <w:t>УМВД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9rplc-6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</w:t>
      </w:r>
      <w:r>
        <w:rPr>
          <w:rFonts w:ascii="Times New Roman" w:eastAsia="Times New Roman" w:hAnsi="Times New Roman" w:cs="Times New Roman"/>
          <w:sz w:val="27"/>
          <w:szCs w:val="27"/>
        </w:rPr>
        <w:t>Тотосова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 отстранен от управления транспортным средством должностным лицом, которому предоставлено право государственного надзора и контроля за безопасностью движения. Об отстранении от управления транспортным средством составлен протокол, в котором указаны дата, время, место, основания отстранения от управления,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Законность при применении мер административного принуждения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Тотосова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 не нарушена, права лица, в отношении которого ведется производство по делу об административном правонарушении, предусмотренные ст. 51 Конституции РФ и ст. 25.1 КоАП РФ, разъяснены, о чем свидетельствует в том числе просмотренная в судебном заседании видеозапись.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Меры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производства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делу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не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именно как к </w:t>
      </w:r>
      <w:r>
        <w:rPr>
          <w:rFonts w:ascii="Times New Roman" w:eastAsia="Times New Roman" w:hAnsi="Times New Roman" w:cs="Times New Roman"/>
          <w:sz w:val="27"/>
          <w:szCs w:val="27"/>
        </w:rPr>
        <w:t>водителю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имеющимися доказательствами.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мировому судье сделать вывод о виновности привлекаемого в совершении административного правонарушения, предусмотренного ч. 1 ст. 12.26 КоАП РФ.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Тотосова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как невыполнение водителем транспортного средства законного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требования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уполномоченного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 прохождении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опьянения, если такие действия не содержат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деяния. Оснований для его освобождения 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ответственность,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полагает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Тотосову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Б.М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Тотосова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Бориса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12.26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сорок 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 с лишением права управления транспортными средствами на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Тотосову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Борису Михайловичу</w:t>
      </w:r>
      <w:r>
        <w:rPr>
          <w:rFonts w:ascii="Times New Roman" w:eastAsia="Times New Roman" w:hAnsi="Times New Roman" w:cs="Times New Roman"/>
          <w:sz w:val="27"/>
          <w:szCs w:val="27"/>
        </w:rPr>
        <w:t>, 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6rplc-69"/>
          <w:rFonts w:ascii="Times New Roman" w:eastAsia="Times New Roman" w:hAnsi="Times New Roman" w:cs="Times New Roman"/>
          <w:sz w:val="27"/>
          <w:szCs w:val="27"/>
        </w:rPr>
        <w:t>...****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>
      <w:footerReference w:type="default" r:id="rId1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2135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Dategrp-10rplc-7">
    <w:name w:val="cat-Date grp-1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8rplc-12">
    <w:name w:val="cat-Time grp-28 rplc-12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Numbergrp-32rplc-16">
    <w:name w:val="cat-CarNumber grp-32 rplc-16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Timegrp-28rplc-28">
    <w:name w:val="cat-Time grp-28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CarNumbergrp-32rplc-32">
    <w:name w:val="cat-CarNumber grp-32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Timegrp-29rplc-36">
    <w:name w:val="cat-Time grp-29 rplc-36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CarNumbergrp-32rplc-40">
    <w:name w:val="cat-CarNumber grp-32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Timegrp-28rplc-43">
    <w:name w:val="cat-Time grp-28 rplc-43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Dategrp-11rplc-48">
    <w:name w:val="cat-Date grp-11 rplc-48"/>
    <w:basedOn w:val="DefaultParagraphFont"/>
  </w:style>
  <w:style w:type="character" w:customStyle="1" w:styleId="cat-Timegrp-30rplc-49">
    <w:name w:val="cat-Time grp-30 rplc-49"/>
    <w:basedOn w:val="DefaultParagraphFont"/>
  </w:style>
  <w:style w:type="character" w:customStyle="1" w:styleId="cat-CarNumbergrp-32rplc-50">
    <w:name w:val="cat-CarNumber grp-32 rplc-50"/>
    <w:basedOn w:val="DefaultParagraphFont"/>
  </w:style>
  <w:style w:type="character" w:customStyle="1" w:styleId="cat-Timegrp-31rplc-51">
    <w:name w:val="cat-Time grp-31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Timegrp-29rplc-53">
    <w:name w:val="cat-Time grp-29 rplc-53"/>
    <w:basedOn w:val="DefaultParagraphFont"/>
  </w:style>
  <w:style w:type="character" w:customStyle="1" w:styleId="cat-CarNumbergrp-33rplc-54">
    <w:name w:val="cat-CarNumber grp-33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Dategrp-11rplc-57">
    <w:name w:val="cat-Date grp-11 rplc-57"/>
    <w:basedOn w:val="DefaultParagraphFont"/>
  </w:style>
  <w:style w:type="character" w:customStyle="1" w:styleId="cat-Dategrp-11rplc-58">
    <w:name w:val="cat-Date grp-11 rplc-58"/>
    <w:basedOn w:val="DefaultParagraphFont"/>
  </w:style>
  <w:style w:type="character" w:customStyle="1" w:styleId="cat-Dategrp-19rplc-60">
    <w:name w:val="cat-Date grp-19 rplc-60"/>
    <w:basedOn w:val="DefaultParagraphFont"/>
  </w:style>
  <w:style w:type="character" w:customStyle="1" w:styleId="cat-UserDefinedgrp-36rplc-69">
    <w:name w:val="cat-UserDefined grp-36 rplc-6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0332A91F91D3BD311C2027A11529B300B77635C84F19B9041163DC8B67F901BBE3A62C841C2B464YAa2L" TargetMode="External" /><Relationship Id="rId11" Type="http://schemas.openxmlformats.org/officeDocument/2006/relationships/hyperlink" Target="consultantplus://offline/ref=A0332A91F91D3BD311C2027A11529B300B71665C8DFB9B9041163DC8B67F901BBE3A62C841C0B161YAa8L" TargetMode="External" /><Relationship Id="rId12" Type="http://schemas.openxmlformats.org/officeDocument/2006/relationships/hyperlink" Target="http://www.consultant.ru/document/cons_doc_LAW_359000/27b951a9ca374e6081930cfff85eabd581a523b1/" TargetMode="External" /><Relationship Id="rId13" Type="http://schemas.openxmlformats.org/officeDocument/2006/relationships/hyperlink" Target="garantF1://1205770.100232" TargetMode="External" /><Relationship Id="rId14" Type="http://schemas.openxmlformats.org/officeDocument/2006/relationships/hyperlink" Target="garantF1://12082530.130114" TargetMode="External" /><Relationship Id="rId15" Type="http://schemas.openxmlformats.org/officeDocument/2006/relationships/hyperlink" Target="garantF1://12061120.1000" TargetMode="External" /><Relationship Id="rId16" Type="http://schemas.openxmlformats.org/officeDocument/2006/relationships/hyperlink" Target="garantF1://10008000.264" TargetMode="External" /><Relationship Id="rId17" Type="http://schemas.openxmlformats.org/officeDocument/2006/relationships/footer" Target="footer1.xml" /><Relationship Id="rId18" Type="http://schemas.openxmlformats.org/officeDocument/2006/relationships/glossaryDocument" Target="glossary/document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consultantplus://offline/ref=A0332A91F91D3BD311C2027A11529B300B7663548BFD9B9041163DC8B67F901BBE3A62C841C2B46DYAa6L" TargetMode="External" /><Relationship Id="rId6" Type="http://schemas.openxmlformats.org/officeDocument/2006/relationships/hyperlink" Target="consultantplus://offline/ref=A0332A91F91D3BD311C2027A11529B300B71665C8DFB9B9041163DC8B67F901BBE3A62CD42C3YBaDL" TargetMode="External" /><Relationship Id="rId7" Type="http://schemas.openxmlformats.org/officeDocument/2006/relationships/hyperlink" Target="consultantplus://offline/ref=A0332A91F91D3BD311C2027A11529B300B71665C8DFB9B9041163DC8B67F901BBE3A62CD42C4YBa2L" TargetMode="External" /><Relationship Id="rId8" Type="http://schemas.openxmlformats.org/officeDocument/2006/relationships/hyperlink" Target="consultantplus://offline/ref=A0332A91F91D3BD311C2027A11529B300B71665C8DFB9B9041163DC8B67F901BBE3A62CC41YCa2L" TargetMode="External" /><Relationship Id="rId9" Type="http://schemas.openxmlformats.org/officeDocument/2006/relationships/hyperlink" Target="consultantplus://offline/ref=A0332A91F91D3BD311C2027A11529B300B77635C84F19B9041163DC8B67F901BBE3A62C841C2B464YAa5L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45A6-6DB1-4A04-A114-F482AD80E1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